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existen indemnizaciones a los Miembros de las diferentes Corporaciones Municipales por abandono del Cargo. </w:t>
      </w:r>
    </w:p>
    <w:tbl>
      <w:tblGrid>
        <w:gridCol w:w="66600" w:type="dxa"/>
        <w:gridCol w:w="423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66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3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6600" w:type="pct"/>
          </w:tcPr>
          <w:p>
            <w:pPr/>
            <w:r>
              <w:rPr/>
              <w:t xml:space="preserve">Indemnizaciones por abandono de cargo</w:t>
            </w:r>
          </w:p>
        </w:tc>
        <w:tc>
          <w:tcPr>
            <w:tcW w:w="423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2026-07-17T03:47:12+00:00</dcterms:created>
  <dcterms:modified xsi:type="dcterms:W3CDTF">2026-07-17T03:47:12+00:00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