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la información a publicar por la Ley 1/2022, de 13 de abril, de Transparencia y Buen Gobierno de la Comunitat Valenciana, "Información sobre los fondos de caja fija. Hay que publicar los gastos de caja fija desagregados por centros directivos, con indicación en cada registro del concepto económico, el tercer perceptor, la fecha y el motivo del gasto y la fecha y el importe de la factura o dieta, sin perjuicio del cumplimiento de la normativa aplicable en materia de protección de datos de carácter personal en cuanto a los datos de personas físicas. Esta información se tiene que actualizar, como mínimo, mensualmente", desde el Ayuntamiento de Torrevieja, se pone en conocimiento del público en general, que no existe actividad en este sentido en 2024 y 2025.</w:t>
      </w:r>
    </w:p>
    <w:p>
      <w:pPr/>
      <w:r>
        <w:rPr/>
        <w:t xml:space="preserve">En todo lo demás, la ciudadanía puede emplear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2026-07-17T03:47:13+00:00</dcterms:created>
  <dcterms:modified xsi:type="dcterms:W3CDTF">2026-07-17T03:47:13+00:00</dcterms:modified>
</cp:coreProperties>
</file>

<file path=docProps/custom.xml><?xml version="1.0" encoding="utf-8"?>
<Properties xmlns="http://schemas.openxmlformats.org/officeDocument/2006/custom-properties" xmlns:vt="http://schemas.openxmlformats.org/officeDocument/2006/docPropsVTypes"/>
</file>