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la información a publicar por la Ley 1/2022, de 13 de abril, de Transparencia y Buen Gobierno de la Comunitat Valenciana, "Información sobre los fondos de caja fija. Hay que publicar los gastos de caja fija desagregados por centros directivos, con indicación en cada registro del concepto económico, el tercer perceptor, la fecha y el motivo del gasto y la fecha y el importe de la factura o dieta, sin perjuicio del cumplimiento de la normativa aplicable en materia de protección de datos de carácter personal en cuanto a los datos de personas físicas. Esta información se tiene que actualizar, como mínimo, mensualmente", desde el Ayuntamiento de Torrevieja, se pone en conocimiento del público en general, que no existe actividad en este sentido en 2024 y 2025.</w:t>
      </w:r>
    </w:p>
    <w:p>
      <w:pPr/>
      <w:r>
        <w:rPr/>
        <w:t xml:space="preserve">En todo lo demás, la ciudadanía puede emplear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2026-10-15T08:39:24+00:00</dcterms:created>
  <dcterms:modified xsi:type="dcterms:W3CDTF">2026-10-15T08:39:24+00:00</dcterms:modified>
</cp:coreProperties>
</file>

<file path=docProps/custom.xml><?xml version="1.0" encoding="utf-8"?>
<Properties xmlns="http://schemas.openxmlformats.org/officeDocument/2006/custom-properties" xmlns:vt="http://schemas.openxmlformats.org/officeDocument/2006/docPropsVTypes"/>
</file>