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la información a publicar por la Ley 1/2022, de 13 de abril, de Transparencia y Buen Gobierno de la Comunitat Valenciana, "Información sobre los fondos de caja fija. Hay que publicar los gastos de caja fija desagregados por centros directivos, con indicación en cada registro del concepto económico, el tercer perceptor, la fecha y el motivo del gasto y la fecha y el importe de la factura o dieta, sin perjuicio del cumplimiento de la normativa aplicable en materia de protección de datos de carácter personal en cuanto a los datos de personas físicas. Esta información se tiene que actualizar, como mínimo, mensualmente", desde el Ayuntamiento de Torrevieja, se pone en conocimiento del público en general, que no existe actividad en este sentido en 2024 y 2025.</w:t>
      </w:r>
    </w:p>
    <w:p>
      <w:pPr/>
      <w:r>
        <w:rPr/>
        <w:t xml:space="preserve">En todo lo demás, la ciudadanía puede emplear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2026-06-01T20:11:51+00:00</dcterms:created>
  <dcterms:modified xsi:type="dcterms:W3CDTF">2026-06-01T20:11:51+00:00</dcterms:modified>
</cp:coreProperties>
</file>

<file path=docProps/custom.xml><?xml version="1.0" encoding="utf-8"?>
<Properties xmlns="http://schemas.openxmlformats.org/officeDocument/2006/custom-properties" xmlns:vt="http://schemas.openxmlformats.org/officeDocument/2006/docPropsVTypes"/>
</file>